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67D18">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42BAF3F8">
      <w:pPr>
        <w:spacing w:line="540" w:lineRule="exact"/>
        <w:jc w:val="center"/>
        <w:rPr>
          <w:rFonts w:ascii="方正小标宋_GBK" w:hAnsi="华文中宋" w:eastAsia="方正小标宋_GBK" w:cs="宋体"/>
          <w:b/>
          <w:kern w:val="0"/>
          <w:sz w:val="48"/>
          <w:szCs w:val="48"/>
        </w:rPr>
      </w:pPr>
    </w:p>
    <w:p w14:paraId="2253914B">
      <w:pPr>
        <w:spacing w:line="540" w:lineRule="exact"/>
        <w:jc w:val="center"/>
        <w:rPr>
          <w:rFonts w:ascii="方正小标宋_GBK" w:hAnsi="华文中宋" w:eastAsia="方正小标宋_GBK" w:cs="宋体"/>
          <w:b/>
          <w:kern w:val="0"/>
          <w:sz w:val="48"/>
          <w:szCs w:val="48"/>
        </w:rPr>
      </w:pPr>
    </w:p>
    <w:p w14:paraId="08C55477">
      <w:pPr>
        <w:spacing w:line="540" w:lineRule="exact"/>
        <w:jc w:val="center"/>
        <w:rPr>
          <w:rFonts w:ascii="方正小标宋_GBK" w:hAnsi="华文中宋" w:eastAsia="方正小标宋_GBK" w:cs="宋体"/>
          <w:b/>
          <w:kern w:val="0"/>
          <w:sz w:val="48"/>
          <w:szCs w:val="48"/>
        </w:rPr>
      </w:pPr>
    </w:p>
    <w:p w14:paraId="56187A0F">
      <w:pPr>
        <w:spacing w:line="540" w:lineRule="exact"/>
        <w:jc w:val="center"/>
        <w:rPr>
          <w:rFonts w:ascii="方正小标宋_GBK" w:hAnsi="华文中宋" w:eastAsia="方正小标宋_GBK" w:cs="宋体"/>
          <w:b/>
          <w:kern w:val="0"/>
          <w:sz w:val="48"/>
          <w:szCs w:val="48"/>
        </w:rPr>
      </w:pPr>
    </w:p>
    <w:p w14:paraId="277037B8">
      <w:pPr>
        <w:spacing w:line="540" w:lineRule="exact"/>
        <w:jc w:val="center"/>
        <w:rPr>
          <w:rFonts w:ascii="方正小标宋_GBK" w:hAnsi="华文中宋" w:eastAsia="方正小标宋_GBK" w:cs="宋体"/>
          <w:b/>
          <w:kern w:val="0"/>
          <w:sz w:val="48"/>
          <w:szCs w:val="48"/>
        </w:rPr>
      </w:pPr>
    </w:p>
    <w:p w14:paraId="5A910892">
      <w:pPr>
        <w:spacing w:line="540" w:lineRule="exact"/>
        <w:jc w:val="center"/>
        <w:rPr>
          <w:rFonts w:ascii="方正小标宋_GBK" w:hAnsi="华文中宋" w:eastAsia="方正小标宋_GBK" w:cs="宋体"/>
          <w:b/>
          <w:kern w:val="0"/>
          <w:sz w:val="48"/>
          <w:szCs w:val="48"/>
        </w:rPr>
      </w:pPr>
    </w:p>
    <w:p w14:paraId="4ED2541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5C57C9B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F53E8DB">
      <w:pPr>
        <w:spacing w:line="540" w:lineRule="exact"/>
        <w:jc w:val="center"/>
        <w:rPr>
          <w:rFonts w:ascii="华文中宋" w:hAnsi="华文中宋" w:eastAsia="华文中宋" w:cs="宋体"/>
          <w:b/>
          <w:kern w:val="0"/>
          <w:sz w:val="52"/>
          <w:szCs w:val="52"/>
        </w:rPr>
      </w:pPr>
    </w:p>
    <w:p w14:paraId="09E3C8E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7DB34E28">
      <w:pPr>
        <w:spacing w:line="700" w:lineRule="exact"/>
        <w:jc w:val="left"/>
        <w:rPr>
          <w:rFonts w:hint="eastAsia" w:hAnsi="宋体" w:eastAsia="仿宋_GB2312" w:cs="宋体"/>
          <w:kern w:val="0"/>
          <w:sz w:val="36"/>
          <w:szCs w:val="36"/>
        </w:rPr>
      </w:pPr>
    </w:p>
    <w:p w14:paraId="61BCECEC">
      <w:pPr>
        <w:spacing w:line="700" w:lineRule="exact"/>
        <w:jc w:val="left"/>
        <w:rPr>
          <w:rFonts w:hint="eastAsia" w:hAnsi="宋体" w:eastAsia="仿宋_GB2312" w:cs="宋体"/>
          <w:kern w:val="0"/>
          <w:sz w:val="36"/>
          <w:szCs w:val="36"/>
        </w:rPr>
      </w:pPr>
    </w:p>
    <w:p w14:paraId="7C23D375">
      <w:pPr>
        <w:spacing w:line="700" w:lineRule="exact"/>
        <w:jc w:val="left"/>
        <w:rPr>
          <w:rFonts w:hint="eastAsia" w:hAnsi="宋体" w:eastAsia="仿宋_GB2312" w:cs="宋体"/>
          <w:kern w:val="0"/>
          <w:sz w:val="36"/>
          <w:szCs w:val="36"/>
          <w:lang w:eastAsia="zh-CN"/>
        </w:rPr>
      </w:pPr>
    </w:p>
    <w:p w14:paraId="2D75E65A">
      <w:pPr>
        <w:spacing w:line="700" w:lineRule="exact"/>
        <w:jc w:val="left"/>
        <w:rPr>
          <w:rFonts w:hint="eastAsia" w:hAnsi="宋体" w:eastAsia="仿宋_GB2312" w:cs="宋体"/>
          <w:kern w:val="0"/>
          <w:sz w:val="36"/>
          <w:szCs w:val="36"/>
          <w:lang w:eastAsia="zh-CN"/>
        </w:rPr>
      </w:pPr>
    </w:p>
    <w:p w14:paraId="789E0C8C">
      <w:pPr>
        <w:spacing w:line="700" w:lineRule="exact"/>
        <w:jc w:val="left"/>
        <w:rPr>
          <w:rFonts w:hint="eastAsia" w:hAnsi="宋体" w:eastAsia="仿宋_GB2312" w:cs="宋体"/>
          <w:kern w:val="0"/>
          <w:sz w:val="36"/>
          <w:szCs w:val="36"/>
          <w:lang w:eastAsia="zh-CN"/>
        </w:rPr>
      </w:pPr>
    </w:p>
    <w:p w14:paraId="61150FC8">
      <w:pPr>
        <w:spacing w:line="700" w:lineRule="exact"/>
        <w:jc w:val="left"/>
        <w:rPr>
          <w:rFonts w:hint="eastAsia" w:hAnsi="宋体" w:eastAsia="仿宋_GB2312" w:cs="宋体"/>
          <w:kern w:val="0"/>
          <w:sz w:val="36"/>
          <w:szCs w:val="36"/>
          <w:lang w:eastAsia="zh-CN"/>
        </w:rPr>
      </w:pPr>
    </w:p>
    <w:p w14:paraId="7790BE79">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克州供销社</w:t>
      </w:r>
    </w:p>
    <w:p w14:paraId="2F2473C0">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6F74A2F8">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5AB3961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08243CD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供销合作社是为农服务，促进城乡物资交流保障市场供给农业生产资料以及农产品流通体制改革建设规划“三农”综合服务开发与支持，农业生产资料以及农产品市场服务，相关社会服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克孜勒苏柯尔克孜自治州供销合作社单位无下属预算单位，下设6个处室，分别是：办公室、财会审计科、基层指导科、综合业务科、纪检监察室、资产监督管理办公室（事业单位）。</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克孜勒苏柯尔克孜自治州供销合作社单位编制数17，实有人数42人，其中：在职16人，退休26人。</w:t>
      </w:r>
      <w:r>
        <w:rPr>
          <w:rFonts w:hint="eastAsia" w:ascii="仿宋_GB2312" w:hAnsi="宋体" w:eastAsia="仿宋_GB2312"/>
          <w:b w:val="0"/>
          <w:bCs/>
          <w:sz w:val="32"/>
          <w:szCs w:val="32"/>
        </w:rPr>
        <w:cr/>
      </w:r>
      <w:r>
        <w:rPr>
          <w:rFonts w:hint="eastAsia" w:ascii="仿宋_GB2312" w:hAnsi="宋体" w:eastAsia="仿宋_GB2312"/>
          <w:b w:val="0"/>
          <w:bCs/>
          <w:sz w:val="32"/>
          <w:szCs w:val="32"/>
          <w:lang w:val="en-US" w:eastAsia="zh-CN"/>
        </w:rPr>
        <w:t>-</w:t>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val="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是“十四五”规划的开局之年，是深化供销社综合改革的关键之年。克州供销社坚持以习近平新时代中国特色社会主义思想为指导，全面贯彻党的十九大和十九届二中、三中、四中、五中全会精神，贯彻落实第三次中央新疆工作座谈会精神，贯彻落实总社“七代会”精神和自治区供销社五届九次理事会精神，深入贯彻习近平总书记关于供销合作社工作的重要指示精神，进一步增强“四个意识”、坚定“四个自信”、做到“两个维护”，完整准确贯彻新时代党的治疆方略，牢牢扭住社会稳定和长治久安总目标，围绕自治区党委“3+1”重点工作部署，坚持稳中求进工作总基调，立足新发展阶段、贯彻新发展理念、构建新发展格局，牢记为农服务根本宗旨，持续深化综合改革，完善体制机制，拓展服务领域，加快成为服务农民生产生活的综合平台，成为党和政府密切联系农民群众的桥梁纽带，为全面推进乡村振兴和加快农业农村现代化作出新贡献。</w:t>
      </w:r>
      <w:r>
        <w:rPr>
          <w:rFonts w:hint="eastAsia" w:ascii="仿宋_GB2312" w:hAnsi="宋体" w:eastAsia="仿宋_GB2312"/>
          <w:b w:val="0"/>
          <w:bCs/>
          <w:sz w:val="32"/>
          <w:szCs w:val="32"/>
        </w:rPr>
        <w:cr/>
      </w:r>
      <w:r>
        <w:rPr>
          <w:rFonts w:hint="eastAsia" w:ascii="仿宋_GB2312" w:hAnsi="宋体" w:eastAsia="仿宋_GB2312"/>
          <w:b w:val="0"/>
          <w:bCs/>
          <w:sz w:val="32"/>
          <w:szCs w:val="32"/>
        </w:rPr>
        <w:t>　　（1）深入学习贯彻习近平新时代中国特色社会主义思想，为新时代供销合作事业发展提供坚强政治保证</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持续深入学习习近平新时代中国特色社会主义思想，扎实开展</w:t>
      </w:r>
      <w:r>
        <w:rPr>
          <w:rFonts w:hint="eastAsia" w:ascii="仿宋_GB2312" w:hAnsi="宋体" w:eastAsia="仿宋_GB2312"/>
          <w:b w:val="0"/>
          <w:bCs/>
          <w:sz w:val="32"/>
          <w:szCs w:val="32"/>
          <w:lang w:eastAsia="zh-CN"/>
        </w:rPr>
        <w:t>党史学习教育</w:t>
      </w:r>
      <w:r>
        <w:rPr>
          <w:rFonts w:hint="eastAsia" w:ascii="仿宋_GB2312" w:hAnsi="宋体" w:eastAsia="仿宋_GB2312"/>
          <w:b w:val="0"/>
          <w:bCs/>
          <w:sz w:val="32"/>
          <w:szCs w:val="32"/>
        </w:rPr>
        <w:t>，不断巩固深化“不忘初心、牢记使命”主题教育成果，切实把初心和使命变成锐意进取、开拓创新的精气神和埋头苦干、真抓实干的原动力。</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深学细悟笃行习近平新时代中国特色社会主义思想。把深入学习习近平新时代中国特色社会主义思想作为首要政治任务，学思践悟、细照笃行，深刻理解和把握其核心要义、精神实质、丰富内涵、实践要求，做到学思用贯通、知信行统一，自觉用习近平新时代中国特色社会主义思想统领供销合作社改革发展，切实将这一重要思想贯穿供销社全部工作始终，不断提高政治判断力、政治领悟力、政治执行办，进一步筑牢思想根基、坚定事业自信。</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认真开展党史学习教育。中国共产党的百年历史，是党领导人民进行新民主主义革命、进行社会主义革命和建设、进行改革开放、奋进新时代并取得伟大胜利的历史。在庆祝我们党百年华诞的重大时刻，在“两个一百年”奋斗目标历史交汇的关键节点，开展党史学习教育，对于总结历史经验、认识历史规律、掌握历史主动，进一步统一思想、统一意志、统一行动，在新的历史起点上奋力夺取新时代中国特色社会主义伟大胜利，具有重大而深远的意义。克州供销社深入学习贯彻习近平总书记在党史学习教育动员大会上的讲话，严格按照党史学习教育的目标要求、学习内容、工作安排，结合供销社实际，积极认真开展党史学习教育，营造学党史、悟思想、办实事、开新局的浓厚氛围，真正做到党史明理、党史增信、学史崇德、党史力行。</w:t>
      </w:r>
      <w:r>
        <w:rPr>
          <w:rFonts w:hint="eastAsia" w:ascii="仿宋_GB2312" w:hAnsi="宋体" w:eastAsia="仿宋_GB2312"/>
          <w:b w:val="0"/>
          <w:bCs/>
          <w:sz w:val="32"/>
          <w:szCs w:val="32"/>
        </w:rPr>
        <w:cr/>
      </w:r>
      <w:r>
        <w:rPr>
          <w:rFonts w:hint="eastAsia" w:ascii="仿宋_GB2312" w:hAnsi="宋体" w:eastAsia="仿宋_GB2312"/>
          <w:b w:val="0"/>
          <w:bCs/>
          <w:sz w:val="32"/>
          <w:szCs w:val="32"/>
        </w:rPr>
        <w:t>　　三是不折不扣落实习近平总书记关于“三农”工作重要论述和对供销合作社工作的重要指示批示精神。2020年，习近平总书记对供销合作社工作作出重要指示批示，深刻阐述了带关供销合作事业长远发展的重大理论和实践问题，明确了供销合作社的性质定位，肯定了供销合作社的地位作用，指明了供销合作社的发展方向，提出了继续办好供销合作社的使命要求，为做好新时代供销合作社工作提供了根本遵循。</w:t>
      </w:r>
      <w:r>
        <w:rPr>
          <w:rFonts w:hint="eastAsia" w:ascii="仿宋_GB2312" w:hAnsi="宋体" w:eastAsia="仿宋_GB2312"/>
          <w:b w:val="0"/>
          <w:bCs/>
          <w:sz w:val="32"/>
          <w:szCs w:val="32"/>
        </w:rPr>
        <w:cr/>
      </w:r>
      <w:r>
        <w:rPr>
          <w:rFonts w:hint="eastAsia" w:ascii="仿宋_GB2312" w:hAnsi="宋体" w:eastAsia="仿宋_GB2312"/>
          <w:b w:val="0"/>
          <w:bCs/>
          <w:sz w:val="32"/>
          <w:szCs w:val="32"/>
        </w:rPr>
        <w:t>　　（2）服务乡村振兴，助力农业农村现代化建设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今年以来，克州供销社履职尽责，做好服务“三农”各项工作，坚持稳中求进工作总基调，坚持以提高发展质量和效益为中心，全面深化供销合作社综合改革，凝心聚力、真抓实干，加快打造服务农民生产生活的生力军和综合平台。紧紧围绕改造自我，服务农民的供销系统改革要求，锐意改革、不断进取，团结和带领全体工作人员深化改革、务实创新，始终坚持为“三农”服务宗旨，凝聚力量、服务大局，较好的完成了各项工作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强化基层建设夯实发展基础。根据全国总社、自治区供销社有关文件精神，在持续深化供销合作社综合改革，不断增强内生动力与发展活力的基础上，扎实开展恢复重建乡、村基层社工作。按照年初所确定的工作任务，对恢复薄弱基层社3个、新建村级基层社6个、新建农村综合服务社1个、新建连锁网点1个、新建庄稼医院4个进行了重点指导，实现供销社乡（镇）村供销阵地恢复建设，通过搭建供销服务平台更好推动“三农”服务能力。</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促进脱贫攻坚，积极推进乡村振兴。①积极推进土地流转。为确保顺利推进乡村振兴战略，大力发展农业供给侧结构性改革，推进土地流转、测土配方等服务，满足农民和新型农业经营主体的需求，利用社会化服务带动一二三产业融合发展。通过土地托管、流转释放农村劳动力，使农民利用自主择业和外出务工等方式增加家庭收入，从而帮助农牧民脱贫致富。</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全系统已完成土地流转面积26126.6亩，实现农用无人机植保作业43700亩（其中：阿克陶县供销社8700亩；阿合奇县供销社35000亩）。②加强组织协调。全州供销系统在春耕备耕期间，及时掌握区域内的农资需求，做好所属农资公司和经销网点的对接，联手好农资保供稳价。实行农资商品明码标价，带头稳定价格，切实做好应对预案，避免在疫情防控和春耕生产期间主要农资品种出现市场供应大幅波动、价格上涨等情况发生，以实际行动维护克州区域农资市场秩序，确保春耕生产农资供应。</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，全州供销系统累计购进尿素3410.5吨，已销售3410.5吨；购进磷酸二胺1138.9吨，已销售1138.9吨；购进复合肥800吨，已销售800吨；购进钾肥100吨，已销售28吨；购进地膜59.08吨，已销售59.08吨。</w:t>
      </w:r>
      <w:r>
        <w:rPr>
          <w:rFonts w:hint="eastAsia" w:ascii="仿宋_GB2312" w:hAnsi="宋体" w:eastAsia="仿宋_GB2312"/>
          <w:b w:val="0"/>
          <w:bCs/>
          <w:sz w:val="32"/>
          <w:szCs w:val="32"/>
        </w:rPr>
        <w:cr/>
      </w:r>
      <w:r>
        <w:rPr>
          <w:rFonts w:hint="eastAsia" w:ascii="仿宋_GB2312" w:hAnsi="宋体" w:eastAsia="仿宋_GB2312"/>
          <w:b w:val="0"/>
          <w:bCs/>
          <w:sz w:val="32"/>
          <w:szCs w:val="32"/>
        </w:rPr>
        <w:t>　　（3）是积极主动对接，促进供销事业稳步发展。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①为落实“项目为主”的理念，根据克州供销社受援需求和昌吉州供销社援克州供销社工作计划，2020年昌吉州供销社安排援克州供销社专项资金500万元，用于克州农业产业化“千城万店”工程“缘疆佳园”项目建设工作，此项目建设面积为1498.6㎡，投资5185229.66元（包括设备）。截至目前，资金全部到位，工程已竣工，正在验收准备投产使用。</w:t>
      </w:r>
      <w:r>
        <w:rPr>
          <w:rFonts w:hint="eastAsia" w:ascii="仿宋_GB2312" w:hAnsi="宋体" w:eastAsia="仿宋_GB2312"/>
          <w:b w:val="0"/>
          <w:bCs/>
          <w:sz w:val="32"/>
          <w:szCs w:val="32"/>
        </w:rPr>
        <w:cr/>
      </w:r>
      <w:r>
        <w:rPr>
          <w:rFonts w:hint="eastAsia" w:ascii="仿宋_GB2312" w:hAnsi="宋体" w:eastAsia="仿宋_GB2312"/>
          <w:b w:val="0"/>
          <w:bCs/>
          <w:sz w:val="32"/>
          <w:szCs w:val="32"/>
        </w:rPr>
        <w:t>　　②依托全国“832”平台，开展产品产销对接。我社积极与全国扶贫网站新疆扶贫“832”平台营销网络联系，推荐克州第一批、第二批扶贫产品认定企业加入，免费在网上展示克州特色农产品，提高农副产品和生产企业的知名度。截至目前，全州累计供应商为31家，常驻“832”平台展销克州农副产品企业11家，上传商品量129种，已上架商品量76种，农副产品线上交易额10335340.28元。</w:t>
      </w:r>
      <w:r>
        <w:rPr>
          <w:rFonts w:hint="eastAsia" w:ascii="仿宋_GB2312" w:hAnsi="宋体" w:eastAsia="仿宋_GB2312"/>
          <w:b w:val="0"/>
          <w:bCs/>
          <w:sz w:val="32"/>
          <w:szCs w:val="32"/>
        </w:rPr>
        <w:cr/>
      </w:r>
      <w:r>
        <w:rPr>
          <w:rFonts w:hint="eastAsia" w:ascii="仿宋_GB2312" w:hAnsi="宋体" w:eastAsia="仿宋_GB2312"/>
          <w:b w:val="0"/>
          <w:bCs/>
          <w:sz w:val="32"/>
          <w:szCs w:val="32"/>
        </w:rPr>
        <w:t>　　③阿克陶县供销社通过以诚招商，积极营造“筑巢引凤”的基础条件，成功引进河南友联农业科技开发公司在阿克陶县玉麦乡一村约3万亩戈壁荒地上开发建设20万头生猪养殖、冷链物流项目，在此基础生发展养殖、种植、清洁能源等现代农业产业园项目，目前引进企业已完成入驻工作，前期项目基础建设工作正在实施建设中。</w:t>
      </w:r>
      <w:r>
        <w:rPr>
          <w:rFonts w:hint="eastAsia" w:ascii="仿宋_GB2312" w:hAnsi="宋体" w:eastAsia="仿宋_GB2312"/>
          <w:b w:val="0"/>
          <w:bCs/>
          <w:sz w:val="32"/>
          <w:szCs w:val="32"/>
        </w:rPr>
        <w:cr/>
      </w:r>
      <w:r>
        <w:rPr>
          <w:rFonts w:hint="eastAsia" w:ascii="仿宋_GB2312" w:hAnsi="宋体" w:eastAsia="仿宋_GB2312"/>
          <w:b w:val="0"/>
          <w:bCs/>
          <w:sz w:val="32"/>
          <w:szCs w:val="32"/>
        </w:rPr>
        <w:t>　　④稳步推进“三位一体”综合合作试点工作。根据中央一号和自治区一号文件精神，按照自治区供销合作社关于开展生产、供销、信用“三位一体”综合合作试点工作要求，州供销社为把基层供销社打造成为生产、供销、信用“三位一体”综合合作的主体和平台，将阿克陶县确定为全州“三位一体”综合合作试点县，通过综合合作试点，以点带面在全州范围内进行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⑤积极主动做好对口援疆省市的合作对接工作。根据《中华全国供销合作总社印发关于动员系统开展对口援疆的工作方案的通知》《关于建立供销合作社系统对口援疆工作机制的通知》和自治区供销社召开全系统对口援疆工作视频会议精神,为深入贯彻第三次中央新疆工作座谈会精神和新时代党的治疆方略，响应供销合作社实际，深化双方合作、推动改革发展、助力乡村振兴，并通过对口实施援疆工作，着力发挥供销合作社系统优势，推动克州供销合作社组织体系更加健全，经营服务网络更加完善，经济实力和为农服务能力进一步提升，农民群众增收致富能力不断增强，加快成为服务农牧业生产生活的综合平台。克州供销社已于江苏省苏合投资运营集团有限公司、江西省供销合作社就合作协议进行了对接。</w:t>
      </w:r>
      <w:r>
        <w:rPr>
          <w:rFonts w:hint="eastAsia" w:ascii="仿宋_GB2312" w:hAnsi="宋体" w:eastAsia="仿宋_GB2312"/>
          <w:b w:val="0"/>
          <w:bCs/>
          <w:sz w:val="32"/>
          <w:szCs w:val="32"/>
        </w:rPr>
        <w:cr/>
      </w:r>
      <w:r>
        <w:rPr>
          <w:rFonts w:hint="eastAsia" w:ascii="仿宋_GB2312" w:hAnsi="宋体" w:eastAsia="仿宋_GB2312"/>
          <w:b w:val="0"/>
          <w:bCs/>
          <w:sz w:val="32"/>
          <w:szCs w:val="32"/>
        </w:rPr>
        <w:t>　　（4）认真做好巡视巡察组反馈意见整改落实工作。把落实巡视巡察整改作为上半年工作的重中之重。针对中央六巡认领的11个问题和州委巡察组指出的3个方面19个问题，制定了整改工作方案，逐项制定了整改措施，明确了责任领导、责任科室、责任人和完成时限，确保了整改工作的顺利推进。</w:t>
      </w:r>
      <w:r>
        <w:rPr>
          <w:rFonts w:hint="eastAsia" w:ascii="仿宋_GB2312" w:hAnsi="宋体" w:eastAsia="仿宋_GB2312"/>
          <w:b w:val="0"/>
          <w:bCs/>
          <w:sz w:val="32"/>
          <w:szCs w:val="32"/>
        </w:rPr>
        <w:cr/>
      </w:r>
      <w:r>
        <w:rPr>
          <w:rFonts w:hint="eastAsia" w:ascii="仿宋_GB2312" w:hAnsi="宋体" w:eastAsia="仿宋_GB2312"/>
          <w:b w:val="0"/>
          <w:bCs/>
          <w:sz w:val="32"/>
          <w:szCs w:val="32"/>
        </w:rPr>
        <w:t>　　（5）加强安全隐患排查。安全生产月活动启动以来，不断深入我社所管辖区域督查安全生产责任落实情况。按照“全覆盖、零容忍、重实效”的要求，认真组织开展安全隐患大排查工作，做到不留死角，强化安全生产宣传力度。重点对本单位的办公场所、出租屋、宾馆、家属院乱堆放以及挤占消防通道、损坏消防器材等安全隐患进行大检查，对乱堆乱放2处不符合要求规范的进行了立即整改，确保建党100周年无任何事故隐患。</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柯尔克孜自治州供销合作社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柯尔克孜自治州供销合作社集体决策制度》和《克孜勒苏柯尔克孜自治州供销合作社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供销合作社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孜勒苏柯尔克孜自治州供销合作社合同管理办法》相关规定，克孜勒苏柯尔克孜自治州供销合作社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296.43万元，项目支出安排资金19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本单位2021年度项目支出19万元，涉及项目数量2个，其中：重点项目支出12万元，涉及重点项目数量1个，重点项目支出与部门项目总支出的比率为63.16%。</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2021年度本单位年初批复部门预算资金总额为290.88万元，年中调增预算总额为24.55万元，调整后全年预算资金总额为315.43万元。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2021年度本单位部门整体支出资金总额为315.43万元，预算执行率为100%，预算调整率为</w:t>
      </w:r>
      <w:r>
        <w:rPr>
          <w:rFonts w:hint="eastAsia" w:ascii="仿宋_GB2312" w:hAnsi="宋体" w:eastAsia="仿宋_GB2312"/>
          <w:b w:val="0"/>
          <w:bCs/>
          <w:sz w:val="32"/>
          <w:szCs w:val="32"/>
          <w:lang w:val="en-US" w:eastAsia="zh-CN"/>
        </w:rPr>
        <w:t>8.44</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年初政府采购预算数为5万元，实际政府采购数为15.12万元，政府采购执行率为302.4%。</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5046855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611E208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为加强我单位预算管理、规范财务行为我单位制定了《克孜勒苏柯尔克孜自治州供销合作社内部控制规范》《克孜勒苏柯尔克孜自治州供销合作社项目管理规范》等资金管理制度，已建立制度均健全且有效运行。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2021年度我单位基本支出预算总额为296.43万元，其中人员经费287.04万元，公用经费9.38万元。实际执行总额为296.43万元，预算执行率100%。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我单位无三公经费。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2021年度本单位项目支出预算总额为19万元，实际执行资金总额为19万元，预算执行率为100%。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2021年度预算安排专项资金12万元，实际支出资金12万元，预算执行率为100%，涉及项目个数1个，专项经费按照政策要求实行专款专用，不存在截留、挤占、挪用、虚列支出。各项目详细执行情况如下：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第一书记和为民办实事经费项目:全年预算数为12万元，预算执行数为12万元，预算执行率为100%。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2021年度预算安排本级财力资金7万元，实际支出资金7万元，预算执行率为100%，涉及项目个数1个，各项目详细执行情况如下：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群众工作经费项目:全年预算数为7万元，预算执行数为7万元，预算执行率为100%。</w:t>
      </w:r>
    </w:p>
    <w:p w14:paraId="5381131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165B4CC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经费项目的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12万元，资金全部到位，实际使用资金12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①制订《克孜勒苏柯尔克孜自治州供销合作社经费使用规范》,为合理合规使用经费提供了有力的制度保障。同时,建立区委组织部项目经费内部管控制度，并严格按要求落实。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和为民办实事经费项目：主要用于阿克陶县玉麦乡阿玛希村工作队和第一书记开展群众工作经费保障，有利于深入基层，积极为民办实事好事，顺利开展阿克陶县玉麦乡阿玛希村基层组织工作，帮助解决农牧民生产生活等困难问题，宣传党的各项惠民政策，维护社会稳定和长治久安，进一步增强农牧民的幸福感和获得感。</w:t>
      </w:r>
    </w:p>
    <w:p w14:paraId="0FFAE97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05DA81C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本单位2021年初资产合计数为881.26万元，年末资产合计数为66.94万元。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截止本年度固定资产账面净值30.51万元，年末实际在用固定资产30.51万元，固定资产利用率为100%。</w:t>
      </w:r>
    </w:p>
    <w:p w14:paraId="3631876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3EBF7A5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部门单位整体支出共设置一级指标3个，二级指标7个，三级指标17个，其中已完成三级指标17个，指标完成率为100%。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“开展群众活动”指标：预期指标值为&gt;=3次，实际完成指标值为3次，指标完成率为100%。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“开展民族团结一家亲活动”指标：预期指标值为&gt;=12次，实际完成指标值为12次，指标完成率为100%。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“群众工作经费办好事”指标：预期指标值为&gt;=15次，实际完成指标值为15次，指标完成率为100%。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“退休人员慰问”指标：预期指标值为=1次，实际完成指标值为1次，指标完成率为100%。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“办公用品”指标：预期指标值为&gt;=7批，实际完成指标值为7批，指标完成率为100%。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“人员基本工资”指标：预期指标值为=41人，实际完成指标值为42人，指标完成率为100%。偏差原因：2021年8月调入本单位一人；改进措施：年初与组织部积极沟通，做好年初预算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“绩效考核达标率”指标：预期指标值为=100%，实际完成指标值为100%，指标完成率为100%。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“群众工作人员补助及时发放率”指标：预期指标值为=100%，实际完成指标值为100%，指标完成率为100%。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“活动开展及时率”指标：预期指标值为=100%，实际完成指标值为100%，指标完成率为100%。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“人员支出-工资福利支出”指标：预期指标值为=263.22万元，实际完成指标值为263.22万元，指标完成率为100%。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“日常公用经费”指标：预期指标值为=8.66万元，实际完成指标值为8.66万元，指标完成率为100%。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“开展群众活动费用”指标：预期指标值为=12万元，实际完成指标值为12万元，指标完成率为100%。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“群众工作经费”指标：预期指标值为=7万元，实际完成指标值为7万元，指标完成率为100%。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“保障工作情况需要”指标：预期指标值为有效保障，实际完成指标值为有效保障，指标完成率为100%。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“开展服务三农工作”指标：预期指标值为持续，实际完成指标值为持续，指标完成率为100%。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“工作人员满意度”指标：预期指标值为&gt;=95%，实际完成指标值为95%，指标完成率为100%。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“受益单位满意度”指标：预期指标值为&gt;=95%，实际完成指标值为95%，指标完成率为100%。</w:t>
      </w:r>
    </w:p>
    <w:p w14:paraId="66C88D3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8EE9B7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00E384F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176ABFE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ascii="黑体" w:hAnsi="黑体" w:eastAsia="黑体" w:cs="宋体"/>
          <w:b/>
          <w:bCs w:val="0"/>
          <w:color w:val="000000" w:themeColor="text1"/>
          <w:sz w:val="32"/>
          <w:szCs w:val="32"/>
          <w:lang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3C067BD5"/>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764662A"/>
    <w:rsid w:val="395E5C53"/>
    <w:rsid w:val="3F125648"/>
    <w:rsid w:val="43397ECB"/>
    <w:rsid w:val="4AF00DEE"/>
    <w:rsid w:val="51C70EA9"/>
    <w:rsid w:val="51D15F0D"/>
    <w:rsid w:val="54F842B6"/>
    <w:rsid w:val="56F47D35"/>
    <w:rsid w:val="5F4B73C0"/>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12041</Words>
  <Characters>12511</Characters>
  <Lines>2</Lines>
  <Paragraphs>1</Paragraphs>
  <TotalTime>0</TotalTime>
  <ScaleCrop>false</ScaleCrop>
  <LinksUpToDate>false</LinksUpToDate>
  <CharactersWithSpaces>12827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2025-07-31T03:29:08Z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